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AFD47" w14:textId="77777777" w:rsidR="00920CC7" w:rsidRDefault="00920CC7"/>
    <w:p w14:paraId="0E319384" w14:textId="1283AAC1" w:rsidR="00910393" w:rsidRDefault="00910393" w:rsidP="00910393">
      <w:r>
        <w:t>Sete ações que as empresas podem implementar para o enfrentamento da violência contra a mulher</w:t>
      </w:r>
    </w:p>
    <w:p w14:paraId="1EF4F131" w14:textId="77777777" w:rsidR="00910393" w:rsidRDefault="00910393" w:rsidP="00910393"/>
    <w:p w14:paraId="35D5AE28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>Conscientização da alta liderança sobre as relações de gênero e os impactos na cultura da violência.</w:t>
      </w:r>
    </w:p>
    <w:p w14:paraId="618707B3" w14:textId="7D88E8D2" w:rsidR="00910393" w:rsidRDefault="00910393" w:rsidP="00910393">
      <w:pPr>
        <w:pStyle w:val="PargrafodaLista"/>
        <w:numPr>
          <w:ilvl w:val="0"/>
          <w:numId w:val="1"/>
        </w:numPr>
      </w:pPr>
      <w:r>
        <w:t>Adesão à Coalizão Empresarial pelo Fim da Violência contra Mulheres e Meninas para se desenvolver sobre o tema, trocar experiências e articular redes interinstitucionais dedicadas à agenda.</w:t>
      </w:r>
    </w:p>
    <w:p w14:paraId="143F4FB2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Estruturação de programa de compliance, com canal de denúncia independente, treinamento da equipe e fluxo específico para situações de discriminação, assédio e violência de gênero. </w:t>
      </w:r>
    </w:p>
    <w:p w14:paraId="5BE12831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Implementação de serviço especializado no atendimento a mulheres colaboradoras em situação de violência, de preferência com parcerias com equipamentos públicos de defesa dos direitos da mulher. </w:t>
      </w:r>
    </w:p>
    <w:p w14:paraId="67CFD968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>Treinamento de gestores para lidar com relatos de violência contra mulheres na equipe, identificar sinais de violência e proceder acolhimento às vítimas.</w:t>
      </w:r>
    </w:p>
    <w:p w14:paraId="2BD4636B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Programa de desenvolvimento de carreiras femininas e outros grupos </w:t>
      </w:r>
      <w:proofErr w:type="spellStart"/>
      <w:r>
        <w:t>minorizados</w:t>
      </w:r>
      <w:proofErr w:type="spellEnd"/>
      <w:r>
        <w:t xml:space="preserve">, com equidade de oportunidades e construção de ambientes psicologicamente seguros. </w:t>
      </w:r>
    </w:p>
    <w:p w14:paraId="0DF6C449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Implementação de Programa de Desenvolvimento de Masculinidades Saudáveis, com ações de diálogo aberto e escuta empática com os homens da organização. </w:t>
      </w:r>
    </w:p>
    <w:p w14:paraId="04C925F5" w14:textId="77777777" w:rsidR="00910393" w:rsidRDefault="00910393" w:rsidP="00910393"/>
    <w:p w14:paraId="2D8CA0B0" w14:textId="36873F01" w:rsidR="00910393" w:rsidRPr="007A3D1A" w:rsidRDefault="00910393" w:rsidP="00910393">
      <w:r w:rsidRPr="007A3D1A">
        <w:t xml:space="preserve">Contribuição: Marina Spínola, </w:t>
      </w:r>
      <w:r w:rsidR="007A3D1A">
        <w:t>d</w:t>
      </w:r>
      <w:r w:rsidRPr="007A3D1A">
        <w:t>iretora de Relações Institucionais e Sustentabilidade da FDC</w:t>
      </w:r>
    </w:p>
    <w:sectPr w:rsidR="00910393" w:rsidRPr="007A3D1A" w:rsidSect="00841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E6FDB"/>
    <w:multiLevelType w:val="hybridMultilevel"/>
    <w:tmpl w:val="FE76B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14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FD"/>
    <w:rsid w:val="00441AFD"/>
    <w:rsid w:val="007A3D1A"/>
    <w:rsid w:val="00841845"/>
    <w:rsid w:val="008D0E7B"/>
    <w:rsid w:val="00910393"/>
    <w:rsid w:val="00920CC7"/>
    <w:rsid w:val="00F7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D802"/>
  <w15:chartTrackingRefBased/>
  <w15:docId w15:val="{739FB14E-9E3C-46D1-B14D-C25922CC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1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1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1A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1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1A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1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1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1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1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1A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1A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A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A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AF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A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1A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1A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1A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1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1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1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1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1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1A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1A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1AF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1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1AF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1A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Ivanda Maria Sobrinha/SPO/BR</dc:creator>
  <cp:keywords/>
  <dc:description/>
  <cp:lastModifiedBy>Fernanda Tomanik Puleghini</cp:lastModifiedBy>
  <cp:revision>3</cp:revision>
  <dcterms:created xsi:type="dcterms:W3CDTF">2024-03-11T22:20:00Z</dcterms:created>
  <dcterms:modified xsi:type="dcterms:W3CDTF">2024-03-12T12:23:00Z</dcterms:modified>
</cp:coreProperties>
</file>